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09" w:rsidRPr="00B47177" w:rsidRDefault="00D17809" w:rsidP="00D17809">
      <w:pPr>
        <w:tabs>
          <w:tab w:val="center" w:pos="4703"/>
          <w:tab w:val="right" w:pos="9406"/>
        </w:tabs>
        <w:spacing w:after="160" w:line="259" w:lineRule="auto"/>
        <w:jc w:val="center"/>
        <w:rPr>
          <w:rFonts w:eastAsia="Calibri"/>
        </w:rPr>
      </w:pPr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809" w:rsidRPr="00B47177" w:rsidRDefault="00D17809" w:rsidP="00D17809">
      <w:pPr>
        <w:pBdr>
          <w:bottom w:val="single" w:sz="4" w:space="1" w:color="auto"/>
        </w:pBdr>
        <w:tabs>
          <w:tab w:val="center" w:pos="4703"/>
          <w:tab w:val="right" w:pos="9406"/>
        </w:tabs>
        <w:spacing w:after="160" w:line="259" w:lineRule="auto"/>
        <w:ind w:right="-47"/>
        <w:jc w:val="center"/>
        <w:rPr>
          <w:rFonts w:eastAsia="Calibri"/>
          <w:b/>
          <w:i/>
        </w:rPr>
      </w:pPr>
      <w:r w:rsidRPr="00B47177">
        <w:rPr>
          <w:rFonts w:eastAsia="Calibri"/>
          <w:b/>
          <w:i/>
        </w:rPr>
        <w:t>ТЕРИТОРИАЛНО ПОДЕЛЕНИЕ ДЪРЖАВНО ГОРСКО СТОПАНСТВО ДОБРИЧ</w:t>
      </w:r>
    </w:p>
    <w:p w:rsidR="00D17809" w:rsidRPr="00B47177" w:rsidRDefault="00D17809" w:rsidP="00D17809">
      <w:pPr>
        <w:tabs>
          <w:tab w:val="center" w:pos="4703"/>
        </w:tabs>
        <w:spacing w:after="160" w:line="259" w:lineRule="auto"/>
        <w:ind w:right="1"/>
        <w:jc w:val="both"/>
        <w:rPr>
          <w:rFonts w:eastAsia="Calibri"/>
          <w:sz w:val="16"/>
          <w:szCs w:val="16"/>
        </w:rPr>
      </w:pPr>
      <w:r w:rsidRPr="00B47177">
        <w:rPr>
          <w:rFonts w:eastAsia="Calibri"/>
          <w:sz w:val="16"/>
          <w:szCs w:val="16"/>
        </w:rPr>
        <w:t xml:space="preserve">Адрес: гр. Добрич, ПК 9300, ул. Марин </w:t>
      </w:r>
      <w:proofErr w:type="spellStart"/>
      <w:r w:rsidRPr="00B47177">
        <w:rPr>
          <w:rFonts w:eastAsia="Calibri"/>
          <w:sz w:val="16"/>
          <w:szCs w:val="16"/>
        </w:rPr>
        <w:t>Дринов</w:t>
      </w:r>
      <w:proofErr w:type="spellEnd"/>
      <w:r w:rsidRPr="00B47177">
        <w:rPr>
          <w:rFonts w:eastAsia="Calibri"/>
          <w:sz w:val="16"/>
          <w:szCs w:val="16"/>
        </w:rPr>
        <w:t xml:space="preserve"> № 5, тел.: 058/600678, факс: 058/600658, </w:t>
      </w:r>
      <w:proofErr w:type="spellStart"/>
      <w:r w:rsidRPr="00B47177">
        <w:rPr>
          <w:rFonts w:eastAsia="Calibri"/>
          <w:sz w:val="16"/>
          <w:szCs w:val="16"/>
        </w:rPr>
        <w:t>e-mail</w:t>
      </w:r>
      <w:proofErr w:type="spellEnd"/>
      <w:r w:rsidRPr="00B47177">
        <w:rPr>
          <w:rFonts w:eastAsia="Calibri"/>
          <w:sz w:val="16"/>
          <w:szCs w:val="16"/>
        </w:rPr>
        <w:t xml:space="preserve">: </w:t>
      </w:r>
      <w:hyperlink r:id="rId7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dgs.dobritch@dpshumen.bg</w:t>
        </w:r>
      </w:hyperlink>
      <w:r w:rsidRPr="00B47177">
        <w:rPr>
          <w:rFonts w:eastAsia="Calibri"/>
          <w:sz w:val="16"/>
          <w:szCs w:val="16"/>
        </w:rPr>
        <w:t xml:space="preserve">, </w:t>
      </w:r>
      <w:hyperlink r:id="rId8" w:history="1">
        <w:r w:rsidRPr="00B47177">
          <w:rPr>
            <w:rFonts w:eastAsia="Calibri"/>
            <w:color w:val="0000FF"/>
            <w:sz w:val="16"/>
            <w:szCs w:val="16"/>
            <w:u w:val="single"/>
          </w:rPr>
          <w:t>www.dpshumen.bg</w:t>
        </w:r>
      </w:hyperlink>
    </w:p>
    <w:p w:rsidR="00AF0862" w:rsidRDefault="002F5F83" w:rsidP="002F5F83">
      <w:pPr>
        <w:rPr>
          <w:b/>
        </w:rPr>
      </w:pPr>
      <w:r w:rsidRPr="002F5F8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0862" w:rsidRDefault="00AF0862" w:rsidP="002F5F83">
      <w:pPr>
        <w:rPr>
          <w:b/>
        </w:rPr>
      </w:pPr>
    </w:p>
    <w:p w:rsidR="002F5F83" w:rsidRPr="002F5F83" w:rsidRDefault="002F5F83" w:rsidP="00AF0862">
      <w:pPr>
        <w:ind w:left="4248" w:firstLine="708"/>
        <w:rPr>
          <w:b/>
        </w:rPr>
      </w:pPr>
      <w:r w:rsidRPr="002F5F83">
        <w:rPr>
          <w:b/>
        </w:rPr>
        <w:t xml:space="preserve">   УТВЪРДИЛ: </w:t>
      </w:r>
      <w:bookmarkStart w:id="0" w:name="_GoBack"/>
      <w:bookmarkEnd w:id="0"/>
    </w:p>
    <w:p w:rsidR="002F5F83" w:rsidRPr="002F5F83" w:rsidRDefault="002F5F83" w:rsidP="002F5F83">
      <w:pPr>
        <w:rPr>
          <w:b/>
        </w:rPr>
      </w:pPr>
      <w:r w:rsidRPr="002F5F83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Pr="002F5F83">
        <w:rPr>
          <w:b/>
        </w:rPr>
        <w:t>ДИРЕКТОР на ТП „ДГС – ДОБРИЧ“</w:t>
      </w:r>
    </w:p>
    <w:p w:rsidR="002F5F83" w:rsidRDefault="002F5F83" w:rsidP="002F5F83">
      <w:pPr>
        <w:rPr>
          <w:b/>
        </w:rPr>
      </w:pPr>
      <w:r w:rsidRPr="002F5F83"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F0862" w:rsidRPr="002F5F83" w:rsidRDefault="00AF0862" w:rsidP="002F5F83">
      <w:pPr>
        <w:rPr>
          <w:b/>
        </w:rPr>
      </w:pPr>
    </w:p>
    <w:p w:rsidR="006441A0" w:rsidRPr="00AF0862" w:rsidRDefault="006441A0" w:rsidP="006441A0">
      <w:pPr>
        <w:jc w:val="center"/>
        <w:rPr>
          <w:b/>
        </w:rPr>
      </w:pPr>
      <w:r w:rsidRPr="00AF0862">
        <w:rPr>
          <w:b/>
        </w:rPr>
        <w:t>С</w:t>
      </w:r>
      <w:r w:rsidR="00AF0862">
        <w:rPr>
          <w:b/>
        </w:rPr>
        <w:t>ПИСЪК</w:t>
      </w:r>
    </w:p>
    <w:p w:rsidR="006441A0" w:rsidRDefault="006441A0" w:rsidP="006441A0">
      <w:pPr>
        <w:jc w:val="center"/>
      </w:pPr>
      <w:r>
        <w:t xml:space="preserve">На дървесните и недървесни продукти и </w:t>
      </w:r>
      <w:proofErr w:type="spellStart"/>
      <w:r>
        <w:t>екосистемни</w:t>
      </w:r>
      <w:proofErr w:type="spellEnd"/>
      <w:r>
        <w:t xml:space="preserve"> услуги предоставяни </w:t>
      </w:r>
    </w:p>
    <w:p w:rsidR="006441A0" w:rsidRDefault="006441A0" w:rsidP="006441A0">
      <w:pPr>
        <w:jc w:val="center"/>
      </w:pPr>
      <w:r>
        <w:t>от ТП “ДГС – Добрич“</w:t>
      </w:r>
    </w:p>
    <w:p w:rsidR="006441A0" w:rsidRDefault="006441A0" w:rsidP="006441A0">
      <w:pPr>
        <w:jc w:val="center"/>
      </w:pPr>
    </w:p>
    <w:p w:rsidR="006441A0" w:rsidRDefault="006441A0" w:rsidP="006441A0">
      <w:pPr>
        <w:pStyle w:val="a5"/>
        <w:numPr>
          <w:ilvl w:val="0"/>
          <w:numId w:val="2"/>
        </w:numPr>
        <w:jc w:val="both"/>
        <w:rPr>
          <w:b/>
        </w:rPr>
      </w:pPr>
      <w:r w:rsidRPr="006441A0">
        <w:rPr>
          <w:b/>
        </w:rPr>
        <w:t>Материални продукти и услуги</w:t>
      </w:r>
    </w:p>
    <w:p w:rsidR="006441A0" w:rsidRDefault="006441A0" w:rsidP="006441A0">
      <w:pPr>
        <w:pStyle w:val="a5"/>
        <w:ind w:left="0" w:firstLine="1080"/>
        <w:jc w:val="both"/>
      </w:pPr>
      <w:r>
        <w:t>Материалните услуги включват всички продукти, добити от екосистемите: храна лечебни растения, дървесина и др.</w:t>
      </w:r>
    </w:p>
    <w:p w:rsidR="006441A0" w:rsidRDefault="006441A0" w:rsidP="006441A0">
      <w:pPr>
        <w:pStyle w:val="a5"/>
        <w:numPr>
          <w:ilvl w:val="0"/>
          <w:numId w:val="3"/>
        </w:numPr>
        <w:ind w:left="0" w:firstLine="1080"/>
        <w:jc w:val="both"/>
      </w:pPr>
      <w:r>
        <w:t xml:space="preserve">Дървесина – видовете </w:t>
      </w:r>
      <w:proofErr w:type="spellStart"/>
      <w:r>
        <w:t>сортименти</w:t>
      </w:r>
      <w:proofErr w:type="spellEnd"/>
      <w:r>
        <w:t xml:space="preserve"> и количествата дървесина, които са предвидени за ползване по ГСП от 2015 г. и планираните за текущата година добиви са посочени в Годишен план за ползване на дървесина на ТП “ДГС – Добрич“ през 2019 г.</w:t>
      </w:r>
    </w:p>
    <w:p w:rsidR="00EA4C66" w:rsidRDefault="006441A0" w:rsidP="00A24E61">
      <w:pPr>
        <w:pStyle w:val="a5"/>
        <w:numPr>
          <w:ilvl w:val="0"/>
          <w:numId w:val="3"/>
        </w:numPr>
        <w:ind w:left="0" w:firstLine="1080"/>
        <w:jc w:val="both"/>
      </w:pPr>
      <w:r>
        <w:t xml:space="preserve">Недървесни горски продукти – видовете недървесни продукти, които стопанството може да предложи за стопански добив </w:t>
      </w:r>
      <w:r w:rsidR="00EA4C66">
        <w:t>и за нуждите на местното население, са определени на база на данни от ГСП от 2015 г. на ТП “ДГС – Добрич“.</w:t>
      </w:r>
      <w:r w:rsidR="00A24E61">
        <w:t xml:space="preserve"> </w:t>
      </w:r>
      <w:r w:rsidR="007C12C2">
        <w:t>Стопанството може да предложи само недървесни продукти от култивирани източници, като липов цв</w:t>
      </w:r>
      <w:r w:rsidR="00A24E61">
        <w:t xml:space="preserve">ят </w:t>
      </w:r>
      <w:r w:rsidR="007C12C2">
        <w:t xml:space="preserve">и плодове </w:t>
      </w:r>
      <w:r w:rsidR="00A24E61">
        <w:t>от орехи от горски култури</w:t>
      </w:r>
      <w:r w:rsidR="007C12C2">
        <w:t>.</w:t>
      </w:r>
      <w:r w:rsidR="00A24E61">
        <w:t xml:space="preserve"> </w:t>
      </w:r>
    </w:p>
    <w:p w:rsidR="00A24E61" w:rsidRDefault="00A24E61" w:rsidP="00A24E61">
      <w:pPr>
        <w:pStyle w:val="a5"/>
        <w:ind w:left="0" w:firstLine="1080"/>
        <w:jc w:val="both"/>
      </w:pPr>
      <w:r>
        <w:t>В района на ТП “ДГС – Добрич“ не се предвижда по горскостопански план добив на горски плодове, билки и гъби от естествени източници, тъй като не са установени райони с големи находища за стопанско ползване.</w:t>
      </w:r>
    </w:p>
    <w:p w:rsidR="0085505A" w:rsidRDefault="00EA4C66" w:rsidP="0085505A">
      <w:pPr>
        <w:pStyle w:val="a5"/>
        <w:numPr>
          <w:ilvl w:val="0"/>
          <w:numId w:val="3"/>
        </w:numPr>
        <w:ind w:left="0" w:firstLine="1080"/>
        <w:jc w:val="both"/>
      </w:pPr>
      <w:proofErr w:type="spellStart"/>
      <w:r>
        <w:t>Паша</w:t>
      </w:r>
      <w:proofErr w:type="spellEnd"/>
      <w:r>
        <w:t xml:space="preserve"> – </w:t>
      </w:r>
      <w:proofErr w:type="spellStart"/>
      <w:r>
        <w:t>Паша</w:t>
      </w:r>
      <w:proofErr w:type="spellEnd"/>
      <w:r>
        <w:t xml:space="preserve"> на селскостопански животни в ДГТ се извършва след заплащане на такса за съответната календарна година. Ежегодно през месец февруари с общините в обхвата на стопанството се съгласува годишен план за </w:t>
      </w:r>
      <w:proofErr w:type="spellStart"/>
      <w:r>
        <w:t>пашата</w:t>
      </w:r>
      <w:proofErr w:type="spellEnd"/>
      <w:r>
        <w:t xml:space="preserve">, където се определят отделите и подотделите за </w:t>
      </w:r>
      <w:proofErr w:type="spellStart"/>
      <w:r>
        <w:t>паша</w:t>
      </w:r>
      <w:proofErr w:type="spellEnd"/>
      <w:r>
        <w:t xml:space="preserve"> на селскостопански животни. С цел опазване на екосистемите е забранена </w:t>
      </w:r>
      <w:proofErr w:type="spellStart"/>
      <w:r>
        <w:t>пашата</w:t>
      </w:r>
      <w:proofErr w:type="spellEnd"/>
      <w:r>
        <w:t xml:space="preserve"> в </w:t>
      </w:r>
      <w:proofErr w:type="spellStart"/>
      <w:r>
        <w:t>семепроизводствените</w:t>
      </w:r>
      <w:proofErr w:type="spellEnd"/>
      <w:r>
        <w:t xml:space="preserve"> градини, в горите в защитените територии, насаждения с възобновителна сеч, </w:t>
      </w:r>
      <w:proofErr w:type="spellStart"/>
      <w:r>
        <w:t>наждения</w:t>
      </w:r>
      <w:proofErr w:type="spellEnd"/>
      <w:r>
        <w:t xml:space="preserve"> с проведени залесителни дейности и културите с височина до 3 метра. В съответствие с изискванията на ЗГ, кметовете на общините Добрич и Добричка издават заповед, в която се посочени местата, забранени за </w:t>
      </w:r>
      <w:proofErr w:type="spellStart"/>
      <w:r>
        <w:t>пашув</w:t>
      </w:r>
      <w:r w:rsidR="0085505A">
        <w:t>ане</w:t>
      </w:r>
      <w:proofErr w:type="spellEnd"/>
      <w:r w:rsidR="0085505A">
        <w:t>.</w:t>
      </w:r>
    </w:p>
    <w:p w:rsidR="00EA4C66" w:rsidRDefault="00EA4C66" w:rsidP="00033E34">
      <w:pPr>
        <w:pStyle w:val="a5"/>
        <w:numPr>
          <w:ilvl w:val="0"/>
          <w:numId w:val="3"/>
        </w:numPr>
        <w:ind w:left="0" w:firstLine="1080"/>
        <w:jc w:val="both"/>
      </w:pPr>
      <w:r>
        <w:t xml:space="preserve"> </w:t>
      </w:r>
      <w:r w:rsidR="0085505A">
        <w:t xml:space="preserve">Лов – на територията на стопанството има богато разнообразие от най-различни представители на фауната, имащи пряко или косвено значение за развитието на ловното стопанство в района на ТП “ДГС – Добрич“. </w:t>
      </w:r>
    </w:p>
    <w:p w:rsidR="00033E34" w:rsidRDefault="0085505A" w:rsidP="00033E34">
      <w:pPr>
        <w:pStyle w:val="a5"/>
        <w:ind w:left="0" w:firstLine="1440"/>
        <w:jc w:val="both"/>
      </w:pPr>
      <w:r>
        <w:t xml:space="preserve">От едрия дивеч обекта на лов е </w:t>
      </w:r>
      <w:r w:rsidR="00033E34">
        <w:t xml:space="preserve">дивата свиня на цялата площ на стопанството. Благородния елен, елена лопатар и сърната само в </w:t>
      </w:r>
      <w:proofErr w:type="spellStart"/>
      <w:r w:rsidR="00033E34">
        <w:t>дивечовъдните</w:t>
      </w:r>
      <w:proofErr w:type="spellEnd"/>
      <w:r w:rsidR="00033E34">
        <w:t xml:space="preserve"> участъци,  където са достигнали допустимия запас и подборно</w:t>
      </w:r>
      <w:r>
        <w:t xml:space="preserve">. </w:t>
      </w:r>
    </w:p>
    <w:p w:rsidR="0085505A" w:rsidRDefault="0085505A" w:rsidP="00033E34">
      <w:pPr>
        <w:pStyle w:val="a5"/>
        <w:ind w:left="0" w:firstLine="1440"/>
        <w:jc w:val="both"/>
      </w:pPr>
      <w:r>
        <w:t xml:space="preserve">От хищниците се предвижда ползване на скитащи кучета, чакал, лисица, черен пор, язовец, </w:t>
      </w:r>
      <w:r w:rsidR="00033E34">
        <w:t>сврака</w:t>
      </w:r>
      <w:r>
        <w:t xml:space="preserve"> и др.</w:t>
      </w:r>
    </w:p>
    <w:p w:rsidR="0085505A" w:rsidRDefault="0085505A" w:rsidP="0085505A">
      <w:pPr>
        <w:pStyle w:val="a5"/>
        <w:ind w:left="1440"/>
        <w:jc w:val="both"/>
      </w:pPr>
      <w:r>
        <w:t xml:space="preserve">От дребния дивеч </w:t>
      </w:r>
      <w:proofErr w:type="spellStart"/>
      <w:r>
        <w:t>отстрел</w:t>
      </w:r>
      <w:proofErr w:type="spellEnd"/>
      <w:r>
        <w:t xml:space="preserve"> се предвижда само за </w:t>
      </w:r>
      <w:r w:rsidR="00033E34">
        <w:t>фазан</w:t>
      </w:r>
      <w:r>
        <w:t xml:space="preserve">. </w:t>
      </w:r>
    </w:p>
    <w:p w:rsidR="001927A4" w:rsidRDefault="0085505A" w:rsidP="00033E34">
      <w:pPr>
        <w:pStyle w:val="a5"/>
        <w:ind w:left="0" w:firstLine="1440"/>
        <w:jc w:val="both"/>
      </w:pPr>
      <w:r>
        <w:t xml:space="preserve">Количествата се утвърждават с плана за ползване всяка година след провеждане на </w:t>
      </w:r>
      <w:r w:rsidR="001927A4">
        <w:t xml:space="preserve">таксация на дивечовите запаси. </w:t>
      </w:r>
    </w:p>
    <w:p w:rsidR="0085505A" w:rsidRDefault="001927A4" w:rsidP="00033E34">
      <w:pPr>
        <w:pStyle w:val="a5"/>
        <w:numPr>
          <w:ilvl w:val="0"/>
          <w:numId w:val="3"/>
        </w:numPr>
        <w:ind w:left="0" w:firstLine="1080"/>
        <w:jc w:val="both"/>
      </w:pPr>
      <w:r>
        <w:lastRenderedPageBreak/>
        <w:t xml:space="preserve">Достъп до генетични ресурси- </w:t>
      </w:r>
      <w:r w:rsidR="0085505A">
        <w:t xml:space="preserve"> </w:t>
      </w:r>
      <w:r>
        <w:t xml:space="preserve">ТП “ДГС – Добрич“ разполага с </w:t>
      </w:r>
      <w:r w:rsidR="00801255">
        <w:t>18</w:t>
      </w:r>
      <w:r w:rsidR="003F50E7">
        <w:t xml:space="preserve"> </w:t>
      </w:r>
      <w:r>
        <w:t xml:space="preserve"> </w:t>
      </w:r>
      <w:proofErr w:type="spellStart"/>
      <w:r>
        <w:t>семепроизводствени</w:t>
      </w:r>
      <w:proofErr w:type="spellEnd"/>
      <w:r>
        <w:t xml:space="preserve"> бази. Добивът на семена от тях е основно за нуждите на стопанството</w:t>
      </w:r>
      <w:r w:rsidR="00A24E61">
        <w:t xml:space="preserve"> и необходимостта от производство на фиданки за залесяване в разсадник „Дъбовете“ за нас, за други горски стопанства и за продажба</w:t>
      </w:r>
      <w:r>
        <w:t xml:space="preserve">. Вида и количеството на добитите ГРМ </w:t>
      </w:r>
      <w:r w:rsidR="00650A94">
        <w:t>зависи изцяло от предвиденото залесяване за съответната и за следващи години, заложено по ГСП</w:t>
      </w:r>
      <w:r w:rsidR="00A24E61">
        <w:t xml:space="preserve"> и необходимостта от фиданки за залесяване в стопанства</w:t>
      </w:r>
      <w:r w:rsidR="002F5F83">
        <w:t>та в североизточна България</w:t>
      </w:r>
      <w:r w:rsidR="00650A94">
        <w:t xml:space="preserve">. </w:t>
      </w:r>
    </w:p>
    <w:p w:rsidR="00650A94" w:rsidRPr="00650A94" w:rsidRDefault="00650A94" w:rsidP="00650A94">
      <w:pPr>
        <w:pStyle w:val="a5"/>
        <w:numPr>
          <w:ilvl w:val="0"/>
          <w:numId w:val="2"/>
        </w:numPr>
        <w:jc w:val="both"/>
        <w:rPr>
          <w:lang w:val="en-US"/>
        </w:rPr>
      </w:pPr>
      <w:r>
        <w:t>Регулиращи услуги</w:t>
      </w:r>
      <w:r w:rsidR="002F5F83">
        <w:t xml:space="preserve"> </w:t>
      </w:r>
      <w:r>
        <w:t>- ползи от процесите в екосистемите.</w:t>
      </w:r>
    </w:p>
    <w:p w:rsidR="00650A94" w:rsidRDefault="00650A94" w:rsidP="00B826C9">
      <w:pPr>
        <w:pStyle w:val="a5"/>
        <w:ind w:left="0" w:firstLine="1080"/>
        <w:jc w:val="both"/>
      </w:pPr>
      <w:proofErr w:type="spellStart"/>
      <w:r>
        <w:t>Водорегулираща</w:t>
      </w:r>
      <w:proofErr w:type="spellEnd"/>
      <w:r>
        <w:t xml:space="preserve"> и </w:t>
      </w:r>
      <w:proofErr w:type="spellStart"/>
      <w:r>
        <w:t>водозащитна</w:t>
      </w:r>
      <w:proofErr w:type="spellEnd"/>
      <w:r>
        <w:t xml:space="preserve"> услуга на горската растителност има огромно значение за количеството и качеството на водите, които изтичат от водосборните басейни. Горските екосистеми реализират две основни </w:t>
      </w:r>
      <w:proofErr w:type="spellStart"/>
      <w:r>
        <w:t>хидрологични</w:t>
      </w:r>
      <w:proofErr w:type="spellEnd"/>
      <w:r>
        <w:t xml:space="preserve"> функции- </w:t>
      </w:r>
      <w:proofErr w:type="spellStart"/>
      <w:r>
        <w:t>водоохранна</w:t>
      </w:r>
      <w:proofErr w:type="spellEnd"/>
      <w:r>
        <w:t xml:space="preserve"> и </w:t>
      </w:r>
      <w:proofErr w:type="spellStart"/>
      <w:r>
        <w:t>водорегулираща</w:t>
      </w:r>
      <w:proofErr w:type="spellEnd"/>
      <w:r>
        <w:t xml:space="preserve">. </w:t>
      </w:r>
      <w:proofErr w:type="spellStart"/>
      <w:r>
        <w:t>Водоохранна</w:t>
      </w:r>
      <w:proofErr w:type="spellEnd"/>
      <w:r>
        <w:t xml:space="preserve"> функция е способността на водите да стабилизират повърхностните и подпочвени води на определена територия (</w:t>
      </w:r>
      <w:proofErr w:type="spellStart"/>
      <w:r>
        <w:t>водосбор</w:t>
      </w:r>
      <w:proofErr w:type="spellEnd"/>
      <w:r>
        <w:t xml:space="preserve">) за дълъг период от време. </w:t>
      </w:r>
      <w:proofErr w:type="spellStart"/>
      <w:r>
        <w:t>Водорегулиращата</w:t>
      </w:r>
      <w:proofErr w:type="spellEnd"/>
      <w:r>
        <w:t xml:space="preserve"> функция се изразява в способността на горските екосистеми да преразпределят елементите на водния баланс, като уве</w:t>
      </w:r>
      <w:r w:rsidR="00B44D2F">
        <w:t>личават дела на положителните (</w:t>
      </w:r>
      <w:r>
        <w:t>п</w:t>
      </w:r>
      <w:r w:rsidR="00B44D2F">
        <w:t xml:space="preserve">родуктивни) пера и намаляват непродуктивните (отрицателни) такива. </w:t>
      </w:r>
      <w:r>
        <w:t xml:space="preserve"> </w:t>
      </w:r>
      <w:r w:rsidR="00B44D2F">
        <w:t xml:space="preserve">Екосистемите осигуряват смекчаване и регулиране на въздействията от промените на климата. </w:t>
      </w:r>
    </w:p>
    <w:p w:rsidR="00B44D2F" w:rsidRPr="006E278B" w:rsidRDefault="00B44D2F" w:rsidP="006E278B">
      <w:pPr>
        <w:pStyle w:val="a5"/>
        <w:numPr>
          <w:ilvl w:val="0"/>
          <w:numId w:val="5"/>
        </w:numPr>
        <w:jc w:val="both"/>
        <w:rPr>
          <w:lang w:val="en-US"/>
        </w:rPr>
      </w:pPr>
      <w:proofErr w:type="spellStart"/>
      <w:r>
        <w:t>Водоохранна</w:t>
      </w:r>
      <w:proofErr w:type="spellEnd"/>
      <w:r>
        <w:t xml:space="preserve"> фун</w:t>
      </w:r>
      <w:r w:rsidR="00E97E70">
        <w:t>к</w:t>
      </w:r>
      <w:r>
        <w:t>ция-</w:t>
      </w:r>
      <w:r w:rsidR="00BA37F4">
        <w:t xml:space="preserve"> 5</w:t>
      </w:r>
      <w:r w:rsidR="002F5F83">
        <w:t xml:space="preserve"> бр. </w:t>
      </w:r>
      <w:r>
        <w:t xml:space="preserve"> каптажи.</w:t>
      </w:r>
    </w:p>
    <w:p w:rsidR="00B44D2F" w:rsidRDefault="00B44D2F" w:rsidP="006E278B">
      <w:pPr>
        <w:pStyle w:val="a5"/>
        <w:ind w:left="0" w:firstLine="1440"/>
        <w:jc w:val="both"/>
      </w:pPr>
      <w:r>
        <w:t>В доклада на ГВСК на ТП “ДГС – Добрич“ са посочени подробно горите и местата, отговарящи на посочените по- горе категории.</w:t>
      </w:r>
    </w:p>
    <w:p w:rsidR="006E278B" w:rsidRDefault="006E278B" w:rsidP="002F5F83">
      <w:pPr>
        <w:pStyle w:val="a5"/>
        <w:numPr>
          <w:ilvl w:val="0"/>
          <w:numId w:val="5"/>
        </w:numPr>
        <w:ind w:left="0" w:firstLine="1080"/>
        <w:jc w:val="both"/>
      </w:pPr>
      <w:proofErr w:type="spellStart"/>
      <w:r>
        <w:t>Водорегулираща</w:t>
      </w:r>
      <w:proofErr w:type="spellEnd"/>
      <w:r>
        <w:t xml:space="preserve"> функция – на територията на ТП „ДГС – Добрич“ няма </w:t>
      </w:r>
      <w:r w:rsidRPr="006E278B">
        <w:t xml:space="preserve">гори с решаващо значение за регулиране на водния отток във </w:t>
      </w:r>
      <w:proofErr w:type="spellStart"/>
      <w:r w:rsidRPr="006E278B">
        <w:t>водосборите</w:t>
      </w:r>
      <w:proofErr w:type="spellEnd"/>
    </w:p>
    <w:p w:rsidR="00B44D2F" w:rsidRPr="00B44D2F" w:rsidRDefault="00B44D2F" w:rsidP="006E278B">
      <w:pPr>
        <w:pStyle w:val="a5"/>
        <w:numPr>
          <w:ilvl w:val="0"/>
          <w:numId w:val="5"/>
        </w:numPr>
        <w:ind w:left="0" w:firstLine="1080"/>
        <w:jc w:val="both"/>
        <w:rPr>
          <w:lang w:val="en-US"/>
        </w:rPr>
      </w:pPr>
      <w:proofErr w:type="spellStart"/>
      <w:r>
        <w:t>Противоерозионни</w:t>
      </w:r>
      <w:proofErr w:type="spellEnd"/>
      <w:r>
        <w:t xml:space="preserve"> функции</w:t>
      </w:r>
      <w:r w:rsidR="002F5F83">
        <w:t xml:space="preserve"> </w:t>
      </w:r>
      <w:r>
        <w:t xml:space="preserve">-  В доклада на ГВСК на ТП “ДГС – Добрич“ са посочени подробно отделите и площите на горите с наклон над 30 градуса и на тези с </w:t>
      </w:r>
      <w:proofErr w:type="spellStart"/>
      <w:r>
        <w:t>противоерозионно</w:t>
      </w:r>
      <w:proofErr w:type="spellEnd"/>
      <w:r>
        <w:t xml:space="preserve"> значение.</w:t>
      </w:r>
    </w:p>
    <w:p w:rsidR="00B44D2F" w:rsidRPr="00B44D2F" w:rsidRDefault="00B44D2F" w:rsidP="00B44D2F">
      <w:pPr>
        <w:pStyle w:val="a5"/>
        <w:numPr>
          <w:ilvl w:val="0"/>
          <w:numId w:val="2"/>
        </w:numPr>
        <w:jc w:val="both"/>
        <w:rPr>
          <w:lang w:val="en-US"/>
        </w:rPr>
      </w:pPr>
      <w:r>
        <w:t>Културни и социални услуги- нематериални ползи от екосистемите.</w:t>
      </w:r>
    </w:p>
    <w:p w:rsidR="00B44D2F" w:rsidRDefault="00B44D2F" w:rsidP="00B44D2F">
      <w:pPr>
        <w:pStyle w:val="a5"/>
        <w:ind w:left="1080"/>
        <w:jc w:val="both"/>
      </w:pPr>
      <w:r>
        <w:t>Културните услуги са нематериални ползи от екосистемите.</w:t>
      </w:r>
    </w:p>
    <w:p w:rsidR="00E97E70" w:rsidRDefault="00B44D2F" w:rsidP="006E278B">
      <w:pPr>
        <w:pStyle w:val="a5"/>
        <w:numPr>
          <w:ilvl w:val="0"/>
          <w:numId w:val="6"/>
        </w:numPr>
        <w:ind w:left="0" w:firstLine="1080"/>
        <w:jc w:val="both"/>
      </w:pPr>
      <w:r>
        <w:t xml:space="preserve">Осигуряването на условия за </w:t>
      </w:r>
      <w:proofErr w:type="spellStart"/>
      <w:r>
        <w:t>рекреация</w:t>
      </w:r>
      <w:proofErr w:type="spellEnd"/>
      <w:r>
        <w:t xml:space="preserve"> и туризъм прави горите предпочитано място за почивка</w:t>
      </w:r>
      <w:r w:rsidR="00E97E70">
        <w:t xml:space="preserve"> на много хора. </w:t>
      </w:r>
    </w:p>
    <w:p w:rsidR="00E97E70" w:rsidRDefault="00E97E70" w:rsidP="006E278B">
      <w:pPr>
        <w:pStyle w:val="a5"/>
        <w:ind w:left="0" w:firstLine="1080"/>
        <w:jc w:val="both"/>
      </w:pPr>
      <w:r>
        <w:t xml:space="preserve">Повечето хора високо ценят красотата или естетическата стойност на различните екосистеми, което се отразява в широкия интерес към </w:t>
      </w:r>
      <w:proofErr w:type="spellStart"/>
      <w:r>
        <w:t>екопътеки</w:t>
      </w:r>
      <w:proofErr w:type="spellEnd"/>
      <w:r>
        <w:t>, маршрути и обозначени панорамни места</w:t>
      </w:r>
      <w:r w:rsidR="00E32C4A">
        <w:t>.</w:t>
      </w:r>
      <w:r>
        <w:t xml:space="preserve"> </w:t>
      </w:r>
    </w:p>
    <w:p w:rsidR="001F2EAB" w:rsidRPr="001F2EAB" w:rsidRDefault="001F2EAB" w:rsidP="001F2EA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На територията на ДГС Добрич е определен </w:t>
      </w:r>
      <w:r w:rsidRPr="001F2EAB">
        <w:rPr>
          <w:sz w:val="22"/>
          <w:szCs w:val="22"/>
        </w:rPr>
        <w:t>отдел 218 а - често посещавана от местното население местност  „</w:t>
      </w:r>
      <w:proofErr w:type="spellStart"/>
      <w:r w:rsidRPr="001F2EAB">
        <w:rPr>
          <w:sz w:val="22"/>
          <w:szCs w:val="22"/>
        </w:rPr>
        <w:t>Ифеклията</w:t>
      </w:r>
      <w:proofErr w:type="spellEnd"/>
      <w:r w:rsidRPr="001F2EAB">
        <w:rPr>
          <w:sz w:val="22"/>
          <w:szCs w:val="22"/>
        </w:rPr>
        <w:t>” .</w:t>
      </w:r>
    </w:p>
    <w:p w:rsidR="004755DB" w:rsidRDefault="004755DB" w:rsidP="006E278B">
      <w:pPr>
        <w:pStyle w:val="a5"/>
        <w:numPr>
          <w:ilvl w:val="0"/>
          <w:numId w:val="6"/>
        </w:numPr>
        <w:ind w:left="0" w:firstLine="1080"/>
        <w:jc w:val="both"/>
      </w:pPr>
      <w:r>
        <w:t xml:space="preserve">Образователна стойност- всяка година се провеждат съвместни дейности по случай честване на седмицата на гората, включващи залесявания с фиданки от горско- дървесни видове и беседи за значението на екосистемите в горите и тяхното опазване с деца от училища и детски градини  от гр. Добрич. </w:t>
      </w:r>
    </w:p>
    <w:p w:rsidR="003226F1" w:rsidRPr="00E32C4A" w:rsidRDefault="008F5115" w:rsidP="00E32C4A">
      <w:pPr>
        <w:pStyle w:val="a5"/>
        <w:numPr>
          <w:ilvl w:val="0"/>
          <w:numId w:val="6"/>
        </w:numPr>
        <w:autoSpaceDE w:val="0"/>
        <w:autoSpaceDN w:val="0"/>
        <w:adjustRightInd w:val="0"/>
        <w:ind w:left="0" w:firstLine="1134"/>
        <w:jc w:val="both"/>
      </w:pPr>
      <w:r w:rsidRPr="00E32C4A">
        <w:t xml:space="preserve">Естетическа стойност на ландшафта- горите от държавните горски територии в ТП “ДГС – Добрич“ попадат в </w:t>
      </w:r>
      <w:r w:rsidR="00A54287" w:rsidRPr="00E32C4A">
        <w:t>район,</w:t>
      </w:r>
      <w:r w:rsidR="00A54287" w:rsidRPr="00E32C4A">
        <w:rPr>
          <w:rFonts w:eastAsiaTheme="minorHAnsi"/>
          <w:lang w:eastAsia="en-US"/>
        </w:rPr>
        <w:t xml:space="preserve"> който</w:t>
      </w:r>
      <w:r w:rsidR="00A54287" w:rsidRPr="00E32C4A">
        <w:rPr>
          <w:rFonts w:ascii="DejaVuSerifCondensed" w:eastAsiaTheme="minorHAnsi" w:hAnsi="DejaVuSerifCondensed" w:cs="DejaVuSerifCondensed"/>
          <w:lang w:eastAsia="en-US"/>
        </w:rPr>
        <w:t xml:space="preserve"> </w:t>
      </w:r>
      <w:r w:rsidR="00A54287" w:rsidRPr="00E32C4A">
        <w:rPr>
          <w:rFonts w:eastAsiaTheme="minorHAnsi"/>
          <w:lang w:eastAsia="en-US"/>
        </w:rPr>
        <w:t>представлява част от Дунавската хълмиста равнина и се характеризира с плоски и загладени хълмове,</w:t>
      </w:r>
      <w:r w:rsidR="00E32C4A" w:rsidRPr="00E32C4A">
        <w:rPr>
          <w:rFonts w:eastAsiaTheme="minorHAnsi"/>
          <w:lang w:eastAsia="en-US"/>
        </w:rPr>
        <w:t xml:space="preserve"> </w:t>
      </w:r>
      <w:r w:rsidR="00A54287" w:rsidRPr="00E32C4A">
        <w:rPr>
          <w:rFonts w:eastAsiaTheme="minorHAnsi"/>
          <w:lang w:eastAsia="en-US"/>
        </w:rPr>
        <w:t>не дълбоки и широки долини с полегати склонове, разсичани от долината на река Суха.</w:t>
      </w:r>
      <w:r w:rsidR="00BF7551" w:rsidRPr="00E32C4A">
        <w:t xml:space="preserve"> Това обуславя </w:t>
      </w:r>
      <w:proofErr w:type="spellStart"/>
      <w:r w:rsidR="00BF7551" w:rsidRPr="00E32C4A">
        <w:t>равнниния</w:t>
      </w:r>
      <w:proofErr w:type="spellEnd"/>
      <w:r w:rsidR="00BF7551" w:rsidRPr="00E32C4A">
        <w:t xml:space="preserve"> и </w:t>
      </w:r>
      <w:proofErr w:type="spellStart"/>
      <w:r w:rsidR="00BF7551" w:rsidRPr="00E32C4A">
        <w:t>нискохълмист</w:t>
      </w:r>
      <w:proofErr w:type="spellEnd"/>
      <w:r w:rsidR="00BF7551" w:rsidRPr="00E32C4A">
        <w:t xml:space="preserve"> релеф на района, който е слабо наклонен на север и съвпада с общата посока на </w:t>
      </w:r>
      <w:proofErr w:type="spellStart"/>
      <w:r w:rsidR="00BF7551" w:rsidRPr="00E32C4A">
        <w:t>суходолията</w:t>
      </w:r>
      <w:proofErr w:type="spellEnd"/>
      <w:r w:rsidR="00BF7551" w:rsidRPr="00E32C4A">
        <w:t xml:space="preserve">. </w:t>
      </w:r>
      <w:r w:rsidR="00E32C4A" w:rsidRPr="00E32C4A">
        <w:t>Това прави природата в тази най-земеделска част на България уникална и неповторима</w:t>
      </w:r>
      <w:r w:rsidR="002F5F83">
        <w:t>.</w:t>
      </w:r>
    </w:p>
    <w:sectPr w:rsidR="003226F1" w:rsidRPr="00E32C4A" w:rsidSect="002F5F83">
      <w:pgSz w:w="11906" w:h="16838"/>
      <w:pgMar w:top="993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00AA8"/>
    <w:multiLevelType w:val="hybridMultilevel"/>
    <w:tmpl w:val="11925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0F7C"/>
    <w:multiLevelType w:val="hybridMultilevel"/>
    <w:tmpl w:val="E326AA3E"/>
    <w:lvl w:ilvl="0" w:tplc="A0821696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560245A8"/>
    <w:multiLevelType w:val="hybridMultilevel"/>
    <w:tmpl w:val="4C8C1156"/>
    <w:lvl w:ilvl="0" w:tplc="856E4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718C8"/>
    <w:multiLevelType w:val="hybridMultilevel"/>
    <w:tmpl w:val="A41E7E2C"/>
    <w:lvl w:ilvl="0" w:tplc="A3F8F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6580123"/>
    <w:multiLevelType w:val="hybridMultilevel"/>
    <w:tmpl w:val="1F84508E"/>
    <w:lvl w:ilvl="0" w:tplc="CFF2F1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607A4E"/>
    <w:multiLevelType w:val="hybridMultilevel"/>
    <w:tmpl w:val="A41E7E2C"/>
    <w:lvl w:ilvl="0" w:tplc="A3F8F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DDA251D"/>
    <w:multiLevelType w:val="hybridMultilevel"/>
    <w:tmpl w:val="4B0EACD6"/>
    <w:lvl w:ilvl="0" w:tplc="514068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809"/>
    <w:rsid w:val="00033E34"/>
    <w:rsid w:val="001927A4"/>
    <w:rsid w:val="001F2EAB"/>
    <w:rsid w:val="002F5F83"/>
    <w:rsid w:val="003226F1"/>
    <w:rsid w:val="003F50E7"/>
    <w:rsid w:val="004755DB"/>
    <w:rsid w:val="006441A0"/>
    <w:rsid w:val="00650A94"/>
    <w:rsid w:val="0068516D"/>
    <w:rsid w:val="006E278B"/>
    <w:rsid w:val="00764558"/>
    <w:rsid w:val="007C12C2"/>
    <w:rsid w:val="00801255"/>
    <w:rsid w:val="0085505A"/>
    <w:rsid w:val="008A5115"/>
    <w:rsid w:val="008F5115"/>
    <w:rsid w:val="009F19C8"/>
    <w:rsid w:val="00A24E61"/>
    <w:rsid w:val="00A54287"/>
    <w:rsid w:val="00AF0862"/>
    <w:rsid w:val="00B44D2F"/>
    <w:rsid w:val="00B826C9"/>
    <w:rsid w:val="00BA1D64"/>
    <w:rsid w:val="00BA37F4"/>
    <w:rsid w:val="00BF7551"/>
    <w:rsid w:val="00D17809"/>
    <w:rsid w:val="00E32C4A"/>
    <w:rsid w:val="00E97E70"/>
    <w:rsid w:val="00EA4C6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0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7809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644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80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17809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64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humen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gs.dobritch@dpshumen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2019-04-18T11:15:00Z</dcterms:created>
  <dcterms:modified xsi:type="dcterms:W3CDTF">2019-04-18T11:17:00Z</dcterms:modified>
</cp:coreProperties>
</file>